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Правила программы лояльности ULAANBAATAR</w:t>
      </w:r>
    </w:p>
    <w:p>
      <w:pPr>
        <w:pStyle w:val="Subtitle"/>
      </w:pPr>
      <w:r>
        <w:rPr>
          <w:color w:val="000000"/>
        </w:rPr>
        <w:t>Условия участия и использования баллов</w:t>
      </w:r>
    </w:p>
    <w:p>
      <w:r>
        <w:rPr>
          <w:color w:val="000000"/>
        </w:rPr>
        <w:t>Программа лояльности ULAANBAATAR позволяет получать баллы за покупки в интернет-магазине и розничных магазинах бренда, использовать их для скидки и пользоваться преимуществами своего уровня. Настоящие Правила определяют порядок участия, начисления и списания баллов, предоставления скидки ко дню рождения и обмена физических карт прежней программы.</w:t>
      </w:r>
    </w:p>
    <w:p>
      <w:pPr>
        <w:pStyle w:val="Heading1"/>
      </w:pPr>
      <w:r>
        <w:rPr>
          <w:color w:val="000000"/>
        </w:rPr>
        <w:t>1 Общие положения</w:t>
      </w:r>
    </w:p>
    <w:p>
      <w:r>
        <w:rPr>
          <w:color w:val="000000"/>
        </w:rPr>
        <w:t>1.1. Организатор Программы — Общество с ограниченной ответственностью «УЛААНБААТАР» (далее — Организатор). Официальный сайт — https://ubcashmere.ru/ (далее — Сайт). Реквизиты и контакты Организатора приведены в разделе 11.</w:t>
      </w:r>
    </w:p>
    <w:p>
      <w:r>
        <w:rPr>
          <w:color w:val="000000"/>
        </w:rPr>
        <w:t>1.2. Программа действует в интернет-магазине на Сайте и в розничных магазинах ULAANBAATAR в Москве и Санкт-Петербурге. Актуальные адреса и часы работы магазинов размещаются на Сайте в разделе «Адреса магазинов».</w:t>
      </w:r>
    </w:p>
    <w:p>
      <w:r>
        <w:rPr>
          <w:color w:val="000000"/>
        </w:rPr>
        <w:t>1.3. Участие добровольное и бесплатное. Участник — дееспособное физическое лицо, зарегистрированное в Программе и приобретающее товары для личного использования. Покупать товары можно и без участия в Программе.</w:t>
      </w:r>
    </w:p>
    <w:p>
      <w:r>
        <w:rPr>
          <w:color w:val="000000"/>
        </w:rPr>
        <w:t>1.4. Карта участника идентифицирует его профиль в Программе. Баллы учитываются на связанном с ним бонусном счёте. Личный кабинет — раздел Сайта, в котором участник может посмотреть свой уровень, баллы и операции.</w:t>
      </w:r>
    </w:p>
    <w:p>
      <w:r>
        <w:rPr>
          <w:color w:val="000000"/>
        </w:rPr>
        <w:t>1.5. Кешбэк в Программе предоставляется в баллах. Баллы дают право на скидку, не являются денежными средствами и не выплачиваются наличными или переводом на банковский счёт.</w:t>
      </w:r>
    </w:p>
    <w:p>
      <w:pPr>
        <w:pStyle w:val="Heading1"/>
      </w:pPr>
      <w:r>
        <w:rPr>
          <w:color w:val="000000"/>
        </w:rPr>
        <w:t>2 Регистрация и личный кабинет</w:t>
      </w:r>
    </w:p>
    <w:p>
      <w:r>
        <w:rPr>
          <w:color w:val="000000"/>
        </w:rPr>
        <w:t>2.1. Для вступления в Программу заполните форму регистрации на Сайте и подтвердите принятие Правил. Предварительно входить в личный кабинет или отдельно регистрироваться на Сайте не требуется: после успешного заполнения формы учётная запись Сайта и профиль участника создаются автоматически.</w:t>
      </w:r>
    </w:p>
    <w:p>
      <w:r>
        <w:rPr>
          <w:color w:val="000000"/>
        </w:rPr>
        <w:t>2.2. В форме указываются имя, фамилия, номер телефона и электронная почта, а также данные для входа. Отчество, дата рождения и пол предоставляются добровольно. Для поля «Пол» доступны варианты «Женский», «Мужской» и «Не указывать». Без даты рождения скидка ко дню рождения не может быть рассчитана.</w:t>
      </w:r>
    </w:p>
    <w:p>
      <w:r>
        <w:rPr>
          <w:color w:val="000000"/>
        </w:rPr>
        <w:t>2.3. Если учётная запись уже существует, используйте вход или восстановление доступа и присоединитесь к Программе через существующий личный кабинет. Данные участника должны быть достоверными и актуальными; при изменении контактов обновите их в профиле или обратитесь в Клиентский сервис.</w:t>
      </w:r>
    </w:p>
    <w:p>
      <w:r>
        <w:rPr>
          <w:color w:val="000000"/>
        </w:rPr>
        <w:t>2.4. В магазине участие оформляется с помощью менеджера. Владельцам физических карт прежней программы 5% и 8% необходимо пройти обмен по разделу 7. Одна только регистрация на Сайте не заменяет обмен старой карты.</w:t>
      </w:r>
    </w:p>
    <w:p>
      <w:pPr>
        <w:pStyle w:val="Heading1"/>
        <w:pageBreakBefore/>
      </w:pPr>
      <w:r>
        <w:rPr>
          <w:color w:val="000000"/>
        </w:rPr>
        <w:t>3 Уровни и преимущества</w:t>
      </w:r>
    </w:p>
    <w:p>
      <w:r>
        <w:rPr>
          <w:color w:val="000000"/>
        </w:rPr>
        <w:t>3.1. Уровень определяется общей суммой покупок, учтённых в Программе за всё время участия. При достижении нижней границы следующего уровня участнику присваивается этот уровень. При обмене прежней физической карты применяется специальный порядок раздела 7.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872"/>
        <w:gridCol w:w="2952"/>
        <w:gridCol w:w="1512"/>
        <w:gridCol w:w="3600"/>
      </w:tblGrid>
      <w:tr>
        <w:trPr>
          <w:tblHeader/>
          <w:cantSplit/>
        </w:trPr>
        <w:tc>
          <w:tcPr>
            <w:tcW w:type="dxa" w:w="187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left"/>
            </w:pPr>
            <w:r>
              <w:rPr>
                <w:rFonts w:ascii="Arial" w:hAnsi="Arial"/>
                <w:b/>
                <w:color w:val="000000"/>
                <w:sz w:val="20"/>
              </w:rPr>
              <w:t>Уровень</w:t>
            </w:r>
          </w:p>
        </w:tc>
        <w:tc>
          <w:tcPr>
            <w:tcW w:type="dxa" w:w="295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Сумма покупок</w:t>
            </w:r>
          </w:p>
        </w:tc>
        <w:tc>
          <w:tcPr>
            <w:tcW w:type="dxa" w:w="151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Кешбэк</w:t>
            </w:r>
          </w:p>
        </w:tc>
        <w:tc>
          <w:tcPr>
            <w:tcW w:type="dxa" w:w="3600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Скидка ко дню рождения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Бронзовый</w:t>
            </w:r>
          </w:p>
        </w:tc>
        <w:tc>
          <w:tcPr>
            <w:tcW w:type="dxa" w:w="295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От 0 ₽</w:t>
              <w:br/>
              <w:t>до 5 000 ₽,</w:t>
              <w:br/>
              <w:t>не включая 5 000 ₽</w:t>
            </w:r>
          </w:p>
        </w:tc>
        <w:tc>
          <w:tcPr>
            <w:tcW w:type="dxa" w:w="151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2%</w:t>
            </w:r>
          </w:p>
        </w:tc>
        <w:tc>
          <w:tcPr>
            <w:tcW w:type="dxa" w:w="3600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6%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Серебряный</w:t>
            </w:r>
          </w:p>
        </w:tc>
        <w:tc>
          <w:tcPr>
            <w:tcW w:type="dxa" w:w="295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От 5 000 ₽</w:t>
              <w:br/>
              <w:t>до 15 000 ₽,</w:t>
              <w:br/>
              <w:t>не включая 15 000 ₽</w:t>
            </w:r>
          </w:p>
        </w:tc>
        <w:tc>
          <w:tcPr>
            <w:tcW w:type="dxa" w:w="151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5%</w:t>
            </w:r>
          </w:p>
        </w:tc>
        <w:tc>
          <w:tcPr>
            <w:tcW w:type="dxa" w:w="3600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9%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Золотой</w:t>
            </w:r>
          </w:p>
        </w:tc>
        <w:tc>
          <w:tcPr>
            <w:tcW w:type="dxa" w:w="295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От 15 000 ₽</w:t>
            </w:r>
          </w:p>
        </w:tc>
        <w:tc>
          <w:tcPr>
            <w:tcW w:type="dxa" w:w="1512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8%</w:t>
            </w:r>
          </w:p>
        </w:tc>
        <w:tc>
          <w:tcPr>
            <w:tcW w:type="dxa" w:w="3600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12%</w:t>
            </w:r>
          </w:p>
        </w:tc>
      </w:tr>
    </w:tbl>
    <w:p>
      <w:pPr>
        <w:spacing w:after="20"/>
      </w:pPr>
    </w:p>
    <w:p>
      <w:r>
        <w:rPr>
          <w:color w:val="000000"/>
        </w:rPr>
        <w:t>3.2. Ровно 5 000 ₽ соответствуют серебряному уровню, ровно 15 000 ₽ — золотому. Размер кешбэка и скидки ко дню рождения зависит от уровня, отражённого в профиле участника.</w:t>
      </w:r>
    </w:p>
    <w:p>
      <w:r>
        <w:rPr>
          <w:color w:val="000000"/>
        </w:rPr>
        <w:t>3.3. Баллы и уровень не имеют установленного срока окончания. Баллы не сгорают из-за истечения времени. Отмена ошибочного начисления и корректировки при возврате товара не являются истечением срока действия баллов.</w:t>
      </w:r>
    </w:p>
    <w:p>
      <w:pPr>
        <w:pStyle w:val="Heading1"/>
      </w:pPr>
      <w:r>
        <w:rPr>
          <w:color w:val="000000"/>
        </w:rPr>
        <w:t>4 Начисление баллов</w:t>
      </w:r>
    </w:p>
    <w:p>
      <w:r>
        <w:rPr>
          <w:color w:val="000000"/>
        </w:rPr>
        <w:t>4.1. Баллы начисляются автоматически уже за первую покупку участника. Для учёта покупки в магазине предъявите карту участника или сообщите менеджеру привязанный к ней номер телефона до расчёта. При онлайн-покупке оформляйте заказ через свой личный кабинет.</w:t>
      </w:r>
    </w:p>
    <w:p>
      <w:r>
        <w:rPr>
          <w:color w:val="000000"/>
        </w:rPr>
        <w:t>4.2. Сумма кешбэка определяется процентом соответствующего уровня от оплаченной денежными средствами стоимости товаров после применения скидок и списания баллов. На часть стоимости, погашенную баллами, новые баллы не начисляются.</w:t>
      </w:r>
    </w:p>
    <w:p>
      <w:r>
        <w:rPr>
          <w:color w:val="000000"/>
        </w:rPr>
        <w:t>4.3. Начисление может занимать до 14 календарных дней при покупке в розничном магазине и до 30 календарных дней при онлайн-заказе. До подтверждения начисления баллы могут отображаться в личном кабинете как ожидаемые. Использовать их можно после перевода в доступный баланс.</w:t>
      </w:r>
    </w:p>
    <w:p>
      <w:r>
        <w:rPr>
          <w:color w:val="000000"/>
        </w:rPr>
        <w:t>4.4. Стоимость доставки не участвует в расчёте кешбэка. За оплату услуг доставки баллы не начисляются.</w:t>
      </w:r>
    </w:p>
    <w:p>
      <w:r>
        <w:rPr>
          <w:color w:val="000000"/>
        </w:rPr>
        <w:t>4.5. Баллы за отменённые или возвращённые товары не начисляются; уже начисленные баллы корректируются по разделу 8. Если установленный срок начисления прошёл, а баллы не появились, направьте в Клиентский сервис номер заказа или сведения о покупке и номер карты либо телефона участника.</w:t>
      </w:r>
    </w:p>
    <w:p>
      <w:pPr>
        <w:pStyle w:val="Heading1"/>
        <w:pageBreakBefore/>
      </w:pPr>
      <w:r>
        <w:rPr>
          <w:color w:val="000000"/>
        </w:rPr>
        <w:t>5 Использование баллов</w:t>
      </w:r>
    </w:p>
    <w:p>
      <w:r>
        <w:rPr>
          <w:color w:val="000000"/>
        </w:rPr>
        <w:t>5.1. Один балл соответствует одному рублю скидки. Доступными баллами можно уменьшить стоимость товаров в одной покупке не более чем на 50%. Размер списания также ограничен доступным балансом участника.</w:t>
      </w:r>
    </w:p>
    <w:p>
      <w:r>
        <w:rPr>
          <w:color w:val="000000"/>
        </w:rPr>
        <w:t>5.2. Лимит списания рассчитывается от стоимости товаров, оплачиваемых в рамках одной покупки, после применимых скидок и до списания баллов. Доставка в эту стоимость не включается и оплачивается отдельно без использования баллов.</w:t>
      </w:r>
    </w:p>
    <w:p>
      <w:r>
        <w:rPr>
          <w:color w:val="000000"/>
        </w:rPr>
        <w:t>5.3. Чтобы воспользоваться баллами на Сайте, войдите в личный кабинет и выберите списание при оформлении заказа. В магазине сообщите менеджеру о желании использовать баллы до оплаты. Сумма скидки и итог к оплате показываются до завершения расчёта.</w:t>
      </w:r>
    </w:p>
    <w:p>
      <w:r>
        <w:rPr>
          <w:color w:val="000000"/>
        </w:rPr>
        <w:t>5.4. Например, если стоимость товаров для расчёта списания составляет 10 000 ₽, максимальная скидка за баллы — 5 000 ₽. При балансе 3 000 баллов можно списать не более 3 000 баллов. Стоимость доставки в обоих случаях оплачивается отдельно.</w:t>
      </w:r>
    </w:p>
    <w:p>
      <w:r>
        <w:rPr>
          <w:color w:val="000000"/>
        </w:rPr>
        <w:t>5.5. Если для конкретного предложения установлены особенности совместного применения скидки, промокода и баллов, эти особенности сообщаются участнику до покупки в условиях соответствующего предложения и при расчёте заказа.</w:t>
      </w:r>
    </w:p>
    <w:p>
      <w:pPr>
        <w:pStyle w:val="Heading1"/>
      </w:pPr>
      <w:r>
        <w:rPr>
          <w:color w:val="000000"/>
        </w:rPr>
        <w:t>6 Скидка ко дню рождения</w:t>
      </w:r>
    </w:p>
    <w:p>
      <w:r>
        <w:rPr>
          <w:color w:val="000000"/>
        </w:rPr>
        <w:t>6.1. Скидка ко дню рождения составляет 6% для бронзового уровня, 9% для серебряного и 12% для золотого. Для её предоставления в профиле должна быть указана достоверная дата рождения.</w:t>
      </w:r>
    </w:p>
    <w:p>
      <w:r>
        <w:rPr>
          <w:color w:val="000000"/>
        </w:rPr>
        <w:t>6.2. Скидка применяется автоматически, если участник вступил в Программу более чем за 90 календарных дней до своего дня рождения. При вступлении ровно за 90 дней или позднее условие для ближайшего дня рождения не выполнено.</w:t>
      </w:r>
    </w:p>
    <w:p>
      <w:r>
        <w:rPr>
          <w:color w:val="000000"/>
        </w:rPr>
        <w:t>6.3. Скидкой можно пользоваться неограниченное количество раз в течение 7 календарных дней до дня рождения, в сам день рождения и 7 календарных дней после него. Обе крайние даты включаются в период действия; общая продолжительность составляет 15 календарных дней.</w:t>
      </w:r>
    </w:p>
    <w:p>
      <w:r>
        <w:rPr>
          <w:color w:val="000000"/>
        </w:rPr>
        <w:t>6.4. При покупке в магазине необходимо идентифицировать себя как участника; при покупке на Сайте — войти в личный кабинет. Ввод промокода для автоматической скидки ко дню рождения не требуется.</w:t>
      </w:r>
    </w:p>
    <w:p>
      <w:r>
        <w:rPr>
          <w:color w:val="000000"/>
        </w:rPr>
        <w:t>6.5. Например, для дня рождения 15 сентября период действия скидки — с 8 по 22 сентября включительно при выполнении условия пункта 6.2.</w:t>
      </w:r>
    </w:p>
    <w:p>
      <w:r>
        <w:rPr>
          <w:color w:val="000000"/>
        </w:rPr>
        <w:t>6.6. Для исправления ошибочно указанной даты рождения обратитесь в Клиентский сервис. Исправление данных не должно использоваться для повторного получения одного и того же преимущества за разные даты рождения.</w:t>
      </w:r>
    </w:p>
    <w:p>
      <w:pPr>
        <w:pStyle w:val="Heading1"/>
        <w:pageBreakBefore/>
      </w:pPr>
      <w:r>
        <w:rPr>
          <w:color w:val="000000"/>
        </w:rPr>
        <w:t>7 Обмен физических карт прежней программы</w:t>
      </w:r>
    </w:p>
    <w:p>
      <w:r>
        <w:rPr>
          <w:color w:val="000000"/>
        </w:rPr>
        <w:t>7.1. Физические карты прежней программы ULAANBAATAR с преимуществом 5% или 8% обмениваются в розничных магазинах бренда в Москве и Санкт-Петербурге через менеджера магазина.</w:t>
      </w:r>
    </w:p>
    <w:p>
      <w:r>
        <w:rPr>
          <w:color w:val="000000"/>
        </w:rPr>
        <w:t>7.2. Возьмите с собой физическую карту и передайте её менеджеру. Менеджер проверит карту, оформит переход и на месте выдаст взамен карту новой программы, которая работает по системе кешбэка. После обмена преимущества предоставляются по настоящим Правилам.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016"/>
        <w:gridCol w:w="3168"/>
        <w:gridCol w:w="1728"/>
        <w:gridCol w:w="3024"/>
      </w:tblGrid>
      <w:tr>
        <w:trPr>
          <w:tblHeader/>
          <w:cantSplit/>
        </w:trPr>
        <w:tc>
          <w:tcPr>
            <w:tcW w:type="dxa" w:w="2016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left"/>
            </w:pPr>
            <w:r>
              <w:rPr>
                <w:rFonts w:ascii="Arial" w:hAnsi="Arial"/>
                <w:b/>
                <w:color w:val="000000"/>
                <w:sz w:val="20"/>
              </w:rPr>
              <w:t>Прежняя карта</w:t>
            </w:r>
          </w:p>
        </w:tc>
        <w:tc>
          <w:tcPr>
            <w:tcW w:type="dxa" w:w="316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Уровень после обмена</w:t>
            </w:r>
          </w:p>
        </w:tc>
        <w:tc>
          <w:tcPr>
            <w:tcW w:type="dxa" w:w="172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Кешбэк</w:t>
            </w:r>
          </w:p>
        </w:tc>
        <w:tc>
          <w:tcPr>
            <w:tcW w:type="dxa" w:w="3024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Бонус за переход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5%</w:t>
            </w:r>
          </w:p>
        </w:tc>
        <w:tc>
          <w:tcPr>
            <w:tcW w:type="dxa" w:w="316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Серебряный</w:t>
            </w:r>
          </w:p>
        </w:tc>
        <w:tc>
          <w:tcPr>
            <w:tcW w:type="dxa" w:w="172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5%</w:t>
            </w:r>
          </w:p>
        </w:tc>
        <w:tc>
          <w:tcPr>
            <w:tcW w:type="dxa" w:w="3024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300 баллов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8%</w:t>
            </w:r>
          </w:p>
        </w:tc>
        <w:tc>
          <w:tcPr>
            <w:tcW w:type="dxa" w:w="316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Золотой</w:t>
            </w:r>
          </w:p>
        </w:tc>
        <w:tc>
          <w:tcPr>
            <w:tcW w:type="dxa" w:w="172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8%</w:t>
            </w:r>
          </w:p>
        </w:tc>
        <w:tc>
          <w:tcPr>
            <w:tcW w:type="dxa" w:w="3024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500 баллов</w:t>
            </w:r>
          </w:p>
        </w:tc>
      </w:tr>
    </w:tbl>
    <w:p>
      <w:pPr>
        <w:spacing w:after="20"/>
      </w:pPr>
    </w:p>
    <w:p>
      <w:r>
        <w:rPr>
          <w:color w:val="000000"/>
        </w:rPr>
        <w:t>7.3. Бонус за переход предоставляется за завершённый обмен соответствующей физической карты. Эти баллы используются по общим правилам: 1 балл = 1 рубль скидки, не более 50% стоимости товаров в одной покупке; доставка исключена.</w:t>
      </w:r>
    </w:p>
    <w:p>
      <w:r>
        <w:rPr>
          <w:color w:val="000000"/>
        </w:rPr>
        <w:t>7.4. При обращении сообщите менеджеру, есть ли у вас личный кабинет на Сайте, и укажите используемые в нём контакты. Это необходимо для связи новой карты с вашим профилем и корректного отображения уровня и баллов.</w:t>
      </w:r>
    </w:p>
    <w:p>
      <w:r>
        <w:rPr>
          <w:color w:val="000000"/>
        </w:rPr>
        <w:t>7.5. Онлайн-регистрация доступна до посещения магазина, однако сама по себе не подтверждает физическую карту и не является её обменом. Для завершения перехода необходимо передать карту менеджеру в магазине.</w:t>
      </w:r>
    </w:p>
    <w:p>
      <w:r>
        <w:rPr>
          <w:color w:val="000000"/>
        </w:rPr>
        <w:t>7.6. Если карта утрачена, повреждена либо её данные не совпадают с данными участника, сначала обратитесь в Клиентский сервис для проверки возможности обмена. Адрес ближайшего магазина можно выбрать на Сайте.</w:t>
      </w:r>
    </w:p>
    <w:p>
      <w:pPr>
        <w:pStyle w:val="Heading1"/>
      </w:pPr>
      <w:r>
        <w:rPr>
          <w:color w:val="000000"/>
        </w:rPr>
        <w:t>8 Возврат товара и корректировка баллов</w:t>
      </w:r>
    </w:p>
    <w:p>
      <w:r>
        <w:rPr>
          <w:color w:val="000000"/>
        </w:rPr>
        <w:t>8.1. Участие в Программе и использование баллов не ограничивают права покупателя на возврат товара, обмен и предъявление требований о качестве. Порядок возврата денежных средств определяется законодательством Российской Федерации и применимыми условиями продажи.</w:t>
      </w:r>
    </w:p>
    <w:p>
      <w:r>
        <w:rPr>
          <w:color w:val="000000"/>
        </w:rPr>
        <w:t>8.2. При возврате товара начисленный за него кешбэк отменяется. При частичном возврате корректируются баллы, относящиеся к возвращённым товарам; операции по оставленным товарам сохраняются.</w:t>
      </w:r>
    </w:p>
    <w:p>
      <w:r>
        <w:rPr>
          <w:color w:val="000000"/>
        </w:rPr>
        <w:t>8.3. Баллы, использованные для скидки на возвращённые товары, восстанавливаются на бонусном счёте в течение трёх рабочих дней после оформления возврата. Их восстановление не заменяет возврат фактически уплаченных денежных средств.</w:t>
      </w:r>
    </w:p>
    <w:p>
      <w:r>
        <w:rPr>
          <w:color w:val="000000"/>
        </w:rPr>
        <w:t>8.4. Ошибочные начисления и списания подлежат проверке и исправлению. По запросу участника Клиентский сервис разъясняет причину и размер корректировки.</w:t>
      </w:r>
    </w:p>
    <w:p>
      <w:pPr>
        <w:pStyle w:val="Heading1"/>
        <w:pageBreakBefore/>
      </w:pPr>
      <w:r>
        <w:rPr>
          <w:color w:val="000000"/>
        </w:rPr>
        <w:t>9 Персональные данные и уведомления</w:t>
      </w:r>
    </w:p>
    <w:p>
      <w:r>
        <w:rPr>
          <w:color w:val="000000"/>
        </w:rPr>
        <w:t>9.1. Организатор обрабатывает данные участника для создания и ведения профиля, учёта покупок, начисления и списания баллов, определения уровня, предоставления скидки ко дню рождения, обмена прежних карт и рассмотрения обращений.</w:t>
      </w:r>
    </w:p>
    <w:p>
      <w:r>
        <w:rPr>
          <w:color w:val="000000"/>
        </w:rPr>
        <w:t>9.2. Порядок обработки, защиты и хранения данных, а также права участника устанавливаются Политикой конфиденциальности Сайта и применимым законодательством. При регистрации участник знакомится с Правилами и Политикой; необходимые согласия оформляются отдельно в предусмотренных для этого формах.</w:t>
      </w:r>
    </w:p>
    <w:p>
      <w:r>
        <w:rPr>
          <w:color w:val="000000"/>
        </w:rPr>
        <w:t>9.3. Пол указывается добровольно. Дата рождения используется для предоставления соответствующей скидки. Отказ от указания этих необязательных данных не препятствует начислению и использованию баллов по общим условиям.</w:t>
      </w:r>
    </w:p>
    <w:p>
      <w:r>
        <w:rPr>
          <w:color w:val="000000"/>
        </w:rPr>
        <w:t>9.4. Подписка на рекламные новости добровольна и оформляется отдельно. Отказ от рассылки или её отмена не прекращает участие в Программе. Сервисные сообщения о профиле и операциях направляются в объёме, необходимом для обслуживания участника.</w:t>
      </w:r>
    </w:p>
    <w:p>
      <w:r>
        <w:rPr>
          <w:color w:val="000000"/>
        </w:rPr>
        <w:t>9.5. Участник может запросить исправление данных, сведения об их обработке или прекращение участия, обратившись к Организатору. Запросы по персональным данным направляются по адресу, указанному в действующей Политике конфиденциальности: ubcashmere@yandex.ru.</w:t>
      </w:r>
    </w:p>
    <w:p>
      <w:pPr>
        <w:pStyle w:val="Heading1"/>
      </w:pPr>
      <w:r>
        <w:rPr>
          <w:color w:val="000000"/>
        </w:rPr>
        <w:t>10 Действие Правил и обращения</w:t>
      </w:r>
    </w:p>
    <w:p>
      <w:r>
        <w:rPr>
          <w:color w:val="000000"/>
        </w:rPr>
        <w:t>10.1. Правила применяются с даты их публикации на Сайте. Актуальные условия Программы доступны участникам на Сайте и через Клиентский сервис.</w:t>
      </w:r>
    </w:p>
    <w:p>
      <w:r>
        <w:rPr>
          <w:color w:val="000000"/>
        </w:rPr>
        <w:t>10.2. Организатор может обновлять Правила с публикацией новой редакции и даты начала её действия. Изменения не отменяют предусмотренных законом прав покупателя и не изменяют задним числом условия уже совершённых покупок.</w:t>
      </w:r>
    </w:p>
    <w:p>
      <w:r>
        <w:rPr>
          <w:color w:val="000000"/>
        </w:rPr>
        <w:t>10.3. При технической ошибке участник вправе обратиться за проверкой операции. Если для предотвращения неправомерных действий требуется временно ограничить операции по карте, участнику предоставляется возможность подтвердить свои данные и получить разъяснение через Клиентский сервис.</w:t>
      </w:r>
    </w:p>
    <w:p>
      <w:r>
        <w:rPr>
          <w:color w:val="000000"/>
        </w:rPr>
        <w:t>10.4. Участник вправе прекратить участие, направив обращение Организатору. Баллы не обмениваются на деньги. Обращения и споры рассматриваются с соблюдением законодательства Российской Федерации; обращение в Клиентский сервис не ограничивает право на судебную защиту.</w:t>
      </w:r>
    </w:p>
    <w:p>
      <w:pPr>
        <w:pStyle w:val="Heading1"/>
      </w:pPr>
      <w:r>
        <w:rPr>
          <w:color w:val="000000"/>
        </w:rPr>
        <w:t>11 Организатор и контакты</w:t>
      </w:r>
    </w:p>
    <w:p>
      <w:r>
        <w:rPr>
          <w:color w:val="000000"/>
        </w:rPr>
        <w:t>ООО «УЛААНБААТАР»</w:t>
        <w:br/>
        <w:t>ОГРН 1247800033392 · ИНН 7816748604 · КПП 781601001</w:t>
        <w:br/>
        <w:t>Юридический адрес: 192236, Россия, г. Санкт-Петербург, ул. Белы Куна, д. 34А, лит. А, пом/пом 4-Н/15 О.102.</w:t>
        <w:br/>
        <w:t>Клиентский сервис: +7 (800) 777-24-81, info@ubcashmere.ru.</w:t>
        <w:br/>
        <w:t>Время работы Клиентского сервиса, указанное на Сайте: 10:00–20:00.</w:t>
      </w:r>
    </w:p>
    <w:p>
      <w:hyperlink r:id="rId10">
        <w:r>
          <w:rPr>
            <w:color w:val="000000"/>
            <w:u w:val="single"/>
          </w:rPr>
          <w:t>Адреса магазинов</w:t>
        </w:r>
      </w:hyperlink>
      <w:r>
        <w:rPr>
          <w:color w:val="000000"/>
        </w:rPr>
        <w:t xml:space="preserve"> · </w:t>
      </w:r>
      <w:hyperlink r:id="rId11">
        <w:r>
          <w:rPr>
            <w:color w:val="000000"/>
            <w:u w:val="single"/>
          </w:rPr>
          <w:t>Политика конфиденциальности</w:t>
        </w:r>
      </w:hyperlink>
      <w:r>
        <w:rPr>
          <w:color w:val="000000"/>
        </w:rPr>
        <w:t xml:space="preserve"> · </w:t>
      </w:r>
      <w:hyperlink r:id="rId12">
        <w:r>
          <w:rPr>
            <w:color w:val="000000"/>
            <w:u w:val="single"/>
          </w:rPr>
          <w:t>Оферта и полные реквизиты</w:t>
        </w:r>
      </w:hyperlink>
    </w:p>
    <w:sectPr w:rsidR="00FC693F" w:rsidRPr="0006063C" w:rsidSect="00034616">
      <w:footerReference w:type="default" r:id="rId9"/>
      <w:headerReference w:type="default" r:id="rId13"/>
      <w:pgSz w:w="12240" w:h="15840"/>
      <w:pgMar w:top="1037" w:right="1152" w:bottom="1037" w:left="1152" w:header="720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sz w:val="18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20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 w:ascii="Arial" w:hAnsi="Arial" w:eastAsia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  <w:tblStylePr w:type="nwCell">
      <w:tblPr/>
      <w:tcPr/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  <w:tblStylePr w:type="nwCell">
      <w:tblPr/>
      <w:tcPr/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  <w:tblStylePr w:type="nwCell">
      <w:tblPr/>
      <w:tcPr/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  <w:tblStylePr w:type="nwCell">
      <w:tblPr/>
      <w:tcPr/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  <w:tblStylePr w:type="nwCell">
      <w:tblPr/>
      <w:tcPr/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  <w:tblStylePr w:type="nwCell">
      <w:tblPr/>
      <w:tcPr/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  <w:tblStylePr w:type="nwCell">
      <w:tblPr/>
      <w:tcPr/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ubcashmere.ru/content/adresses/" TargetMode="External"/><Relationship Id="rId11" Type="http://schemas.openxmlformats.org/officeDocument/2006/relationships/hyperlink" Target="https://ubcashmere.ru/content/policy/" TargetMode="External"/><Relationship Id="rId12" Type="http://schemas.openxmlformats.org/officeDocument/2006/relationships/hyperlink" Target="https://ubcashmere.ru/content/oferta/" TargetMode="External"/><Relationship Id="rId1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программы лояльности ULAANBAATAR</dc:title>
  <dc:subject>Программа лояльности ULAANBAATAR</dc:subject>
  <dc:creator>ULAANBAATAR</dc:creator>
  <cp:keywords>ULAANBAATAR, программа лояльности, правила, кешбэк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